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00C81" w14:textId="0855C03E" w:rsidR="00B80FDA" w:rsidRDefault="00B80FDA" w:rsidP="002C7E2B">
      <w:pPr>
        <w:jc w:val="center"/>
        <w:rPr>
          <w:b/>
          <w:bCs/>
          <w:sz w:val="40"/>
          <w:szCs w:val="40"/>
          <w:lang w:val="en-US"/>
        </w:rPr>
      </w:pPr>
      <w:r w:rsidRPr="00B80FDA">
        <w:rPr>
          <w:b/>
          <w:bCs/>
          <w:sz w:val="40"/>
          <w:szCs w:val="40"/>
          <w:lang w:val="en-US"/>
        </w:rPr>
        <w:drawing>
          <wp:inline distT="0" distB="0" distL="0" distR="0" wp14:anchorId="5CBCB1DC" wp14:editId="26EF43E8">
            <wp:extent cx="5731510" cy="544195"/>
            <wp:effectExtent l="0" t="0" r="2540" b="8255"/>
            <wp:docPr id="812209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09903" name=""/>
                    <pic:cNvPicPr/>
                  </pic:nvPicPr>
                  <pic:blipFill>
                    <a:blip r:embed="rId5"/>
                    <a:stretch>
                      <a:fillRect/>
                    </a:stretch>
                  </pic:blipFill>
                  <pic:spPr>
                    <a:xfrm>
                      <a:off x="0" y="0"/>
                      <a:ext cx="5731510" cy="544195"/>
                    </a:xfrm>
                    <a:prstGeom prst="rect">
                      <a:avLst/>
                    </a:prstGeom>
                  </pic:spPr>
                </pic:pic>
              </a:graphicData>
            </a:graphic>
          </wp:inline>
        </w:drawing>
      </w:r>
    </w:p>
    <w:p w14:paraId="09B2C5CD" w14:textId="2633249B" w:rsidR="002C7E2B" w:rsidRDefault="002C7E2B" w:rsidP="002C7E2B">
      <w:pPr>
        <w:jc w:val="center"/>
        <w:rPr>
          <w:b/>
          <w:bCs/>
          <w:sz w:val="40"/>
          <w:szCs w:val="40"/>
          <w:lang w:val="en-US"/>
        </w:rPr>
      </w:pPr>
      <w:r>
        <w:rPr>
          <w:b/>
          <w:bCs/>
          <w:sz w:val="40"/>
          <w:szCs w:val="40"/>
          <w:lang w:val="en-US"/>
        </w:rPr>
        <w:t xml:space="preserve">Case 1 - </w:t>
      </w:r>
      <w:r w:rsidRPr="002C7E2B">
        <w:rPr>
          <w:b/>
          <w:bCs/>
          <w:sz w:val="40"/>
          <w:szCs w:val="40"/>
          <w:lang w:val="en-US"/>
        </w:rPr>
        <w:t>Recalibrating Retail Pricing in Banten: What Pace Are Prices Really Setting?</w:t>
      </w:r>
    </w:p>
    <w:p w14:paraId="5B3EBCE7" w14:textId="77777777" w:rsidR="00F56D38" w:rsidRDefault="00F56D38" w:rsidP="002C7E2B">
      <w:pPr>
        <w:spacing w:before="100" w:beforeAutospacing="1" w:after="100" w:afterAutospacing="1" w:line="240" w:lineRule="auto"/>
        <w:jc w:val="both"/>
        <w:rPr>
          <w:rFonts w:eastAsia="Times New Roman"/>
          <w:kern w:val="0"/>
          <w:sz w:val="24"/>
          <w:szCs w:val="24"/>
          <w:lang w:val="en-US"/>
          <w14:ligatures w14:val="none"/>
        </w:rPr>
      </w:pPr>
    </w:p>
    <w:p w14:paraId="2A5AF648" w14:textId="14A00DD1"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In mid-2025, national retail chains operating across Banten Province confronted a familiar yet delicate decision: whether to take a universal price increase on packaged foods and day-to-day essentials. Jakarta headquarters proposed a modest, across-the-board markup to protect gross margins. Regional managers in Kota Tangerang and Kota Tangerang Selatan (</w:t>
      </w:r>
      <w:proofErr w:type="spellStart"/>
      <w:r w:rsidRPr="002C7E2B">
        <w:rPr>
          <w:rFonts w:eastAsia="Times New Roman"/>
          <w:kern w:val="0"/>
          <w:sz w:val="24"/>
          <w:szCs w:val="24"/>
          <w:lang w:val="en-US"/>
          <w14:ligatures w14:val="none"/>
        </w:rPr>
        <w:t>Tangsel</w:t>
      </w:r>
      <w:proofErr w:type="spellEnd"/>
      <w:r w:rsidRPr="002C7E2B">
        <w:rPr>
          <w:rFonts w:eastAsia="Times New Roman"/>
          <w:kern w:val="0"/>
          <w:sz w:val="24"/>
          <w:szCs w:val="24"/>
          <w:lang w:val="en-US"/>
          <w14:ligatures w14:val="none"/>
        </w:rPr>
        <w:t xml:space="preserve">) pushed back, noting that shoppers in their catchment areas—many still rebuilding household buffers post-pandemic—had become more sensitive to certain categories than others. Food and transport drew </w:t>
      </w:r>
      <w:proofErr w:type="gramStart"/>
      <w:r w:rsidRPr="002C7E2B">
        <w:rPr>
          <w:rFonts w:eastAsia="Times New Roman"/>
          <w:kern w:val="0"/>
          <w:sz w:val="24"/>
          <w:szCs w:val="24"/>
          <w:lang w:val="en-US"/>
          <w14:ligatures w14:val="none"/>
        </w:rPr>
        <w:t>particular scrutiny</w:t>
      </w:r>
      <w:proofErr w:type="gramEnd"/>
      <w:r w:rsidRPr="002C7E2B">
        <w:rPr>
          <w:rFonts w:eastAsia="Times New Roman"/>
          <w:kern w:val="0"/>
          <w:sz w:val="24"/>
          <w:szCs w:val="24"/>
          <w:lang w:val="en-US"/>
          <w14:ligatures w14:val="none"/>
        </w:rPr>
        <w:t xml:space="preserve"> at store level; housing-related costs were rising but in fits and starts, with promo periods and platform discounts muddying the water.</w:t>
      </w:r>
    </w:p>
    <w:p w14:paraId="7EA6F375"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The CFO wanted a single, defensible message for the next 90 days. The analytics team built a straightforward workbook from public price indices: monthly headline inflation for Banten and the same index split by COICOP consumption groups (food and non-alcoholic beverages, transport, housing/utilities, etc.), covering 2020–2025. The goal was not to win an econometrics prize but to translate five years of monthly observations into something store managers could act on: “What is the general speed of price change, and which categories, if any, are persistently outrunning the overall basket?”</w:t>
      </w:r>
    </w:p>
    <w:p w14:paraId="65D6BE65" w14:textId="6D028472"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 xml:space="preserve">They charted headline and category indices across the pandemic dip, the reopening rebounds, and the steadier rhythm of 2024–2025. Two patterns mattered for decisions. First, the baseline drift in the headline index provided a clean, intuitive anchor for a province-wide markup that wouldn’t shock customers. Second, relative movements in key categories told them where blunt markups would be most likely to trigger basket-switching or volume loss. Food experienced occasional </w:t>
      </w:r>
      <w:r w:rsidR="00F56D38" w:rsidRPr="002C7E2B">
        <w:rPr>
          <w:rFonts w:eastAsia="Times New Roman"/>
          <w:kern w:val="0"/>
          <w:sz w:val="24"/>
          <w:szCs w:val="24"/>
          <w:lang w:val="en-US"/>
          <w14:ligatures w14:val="none"/>
        </w:rPr>
        <w:t>burst</w:t>
      </w:r>
      <w:r w:rsidR="00F56D38">
        <w:rPr>
          <w:rFonts w:eastAsia="Times New Roman"/>
          <w:kern w:val="0"/>
          <w:sz w:val="24"/>
          <w:szCs w:val="24"/>
          <w:lang w:val="en-US"/>
          <w14:ligatures w14:val="none"/>
        </w:rPr>
        <w:t>-</w:t>
      </w:r>
      <w:r w:rsidR="00F56D38" w:rsidRPr="002C7E2B">
        <w:rPr>
          <w:rFonts w:eastAsia="Times New Roman"/>
          <w:kern w:val="0"/>
          <w:sz w:val="24"/>
          <w:szCs w:val="24"/>
          <w:lang w:val="en-US"/>
          <w14:ligatures w14:val="none"/>
        </w:rPr>
        <w:t xml:space="preserve"> </w:t>
      </w:r>
      <w:r w:rsidRPr="002C7E2B">
        <w:rPr>
          <w:rFonts w:eastAsia="Times New Roman"/>
          <w:kern w:val="0"/>
          <w:sz w:val="24"/>
          <w:szCs w:val="24"/>
          <w:lang w:val="en-US"/>
          <w14:ligatures w14:val="none"/>
        </w:rPr>
        <w:t>festival seasons, supply glitches, fuel pass-throughs—but these bursts didn’t always last beyond a quarter. Transport oscillated with fuel policy and mobility patterns. Housing and utilities tended to move more slowly, but once they moved, they rarely reversed quickly.</w:t>
      </w:r>
    </w:p>
    <w:p w14:paraId="7A53224C"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 xml:space="preserve">The team distilled this into a concise playbook: (1) adopt a modest provincial baseline increase in line with the overall pace of prices; (2) flag a short list of staples that had repeatedly run “hot” versus the basket and require pricing discretion (e.g., step the markup or time it after promo cycles); (3) institute a 90-day review keyed to the next three monthly releases, so stores could adjust without losing credibility. The message to operations was intentionally simple: let the overall index set the center of </w:t>
      </w:r>
      <w:proofErr w:type="gramStart"/>
      <w:r w:rsidRPr="002C7E2B">
        <w:rPr>
          <w:rFonts w:eastAsia="Times New Roman"/>
          <w:kern w:val="0"/>
          <w:sz w:val="24"/>
          <w:szCs w:val="24"/>
          <w:lang w:val="en-US"/>
          <w14:ligatures w14:val="none"/>
        </w:rPr>
        <w:t>gravity, and</w:t>
      </w:r>
      <w:proofErr w:type="gramEnd"/>
      <w:r w:rsidRPr="002C7E2B">
        <w:rPr>
          <w:rFonts w:eastAsia="Times New Roman"/>
          <w:kern w:val="0"/>
          <w:sz w:val="24"/>
          <w:szCs w:val="24"/>
          <w:lang w:val="en-US"/>
          <w14:ligatures w14:val="none"/>
        </w:rPr>
        <w:t xml:space="preserve"> let consistent category deviations justify targeted exceptions.</w:t>
      </w:r>
    </w:p>
    <w:p w14:paraId="6257B63E"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 xml:space="preserve">The CFO signed off, balancing margin protection and customer trust. In </w:t>
      </w:r>
      <w:proofErr w:type="gramStart"/>
      <w:r w:rsidRPr="002C7E2B">
        <w:rPr>
          <w:rFonts w:eastAsia="Times New Roman"/>
          <w:kern w:val="0"/>
          <w:sz w:val="24"/>
          <w:szCs w:val="24"/>
          <w:lang w:val="en-US"/>
          <w14:ligatures w14:val="none"/>
        </w:rPr>
        <w:t>town-halls</w:t>
      </w:r>
      <w:proofErr w:type="gramEnd"/>
      <w:r w:rsidRPr="002C7E2B">
        <w:rPr>
          <w:rFonts w:eastAsia="Times New Roman"/>
          <w:kern w:val="0"/>
          <w:sz w:val="24"/>
          <w:szCs w:val="24"/>
          <w:lang w:val="en-US"/>
          <w14:ligatures w14:val="none"/>
        </w:rPr>
        <w:t xml:space="preserve">, store leaders appreciated that the guidance was grounded in official statistics they could explain to staff and to increasingly savvy shoppers. The looming risk, everyone agreed, was a policy or supply shock that would </w:t>
      </w:r>
      <w:proofErr w:type="gramStart"/>
      <w:r w:rsidRPr="002C7E2B">
        <w:rPr>
          <w:rFonts w:eastAsia="Times New Roman"/>
          <w:kern w:val="0"/>
          <w:sz w:val="24"/>
          <w:szCs w:val="24"/>
          <w:lang w:val="en-US"/>
          <w14:ligatures w14:val="none"/>
        </w:rPr>
        <w:t>yank</w:t>
      </w:r>
      <w:proofErr w:type="gramEnd"/>
      <w:r w:rsidRPr="002C7E2B">
        <w:rPr>
          <w:rFonts w:eastAsia="Times New Roman"/>
          <w:kern w:val="0"/>
          <w:sz w:val="24"/>
          <w:szCs w:val="24"/>
          <w:lang w:val="en-US"/>
          <w14:ligatures w14:val="none"/>
        </w:rPr>
        <w:t xml:space="preserve"> category paths away from the basket again; the 90-day checkpoint existed precisely for that reason.</w:t>
      </w:r>
    </w:p>
    <w:p w14:paraId="00491DFA"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b/>
          <w:bCs/>
          <w:kern w:val="0"/>
          <w:sz w:val="24"/>
          <w:szCs w:val="24"/>
          <w:lang w:val="en-US"/>
          <w14:ligatures w14:val="none"/>
        </w:rPr>
        <w:lastRenderedPageBreak/>
        <w:t>Discussion questions</w:t>
      </w:r>
    </w:p>
    <w:p w14:paraId="100F9FF8" w14:textId="451882AF" w:rsidR="002C7E2B" w:rsidRPr="002C7E2B" w:rsidRDefault="002C7E2B" w:rsidP="00F56D38">
      <w:pPr>
        <w:numPr>
          <w:ilvl w:val="0"/>
          <w:numId w:val="26"/>
        </w:num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 xml:space="preserve">Write a simple linear formula that uses time or the headline index as the driver for a province-wide pricing </w:t>
      </w:r>
      <w:r w:rsidRPr="00F56D38">
        <w:rPr>
          <w:rFonts w:eastAsia="Times New Roman"/>
          <w:kern w:val="0"/>
          <w:sz w:val="24"/>
          <w:szCs w:val="24"/>
          <w:lang w:val="en-US"/>
          <w14:ligatures w14:val="none"/>
        </w:rPr>
        <w:t>baseline and</w:t>
      </w:r>
      <w:r w:rsidRPr="002C7E2B">
        <w:rPr>
          <w:rFonts w:eastAsia="Times New Roman"/>
          <w:kern w:val="0"/>
          <w:sz w:val="24"/>
          <w:szCs w:val="24"/>
          <w:lang w:val="en-US"/>
          <w14:ligatures w14:val="none"/>
        </w:rPr>
        <w:t xml:space="preserve"> use it to predict the next 12 months.</w:t>
      </w:r>
    </w:p>
    <w:p w14:paraId="42789DA6" w14:textId="77777777" w:rsidR="002C7E2B" w:rsidRPr="002C7E2B" w:rsidRDefault="002C7E2B" w:rsidP="00F56D38">
      <w:pPr>
        <w:numPr>
          <w:ilvl w:val="0"/>
          <w:numId w:val="26"/>
        </w:num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Based on your formula, which two categories would you exempt from a blunt markup in the next quarter, and why? State the operational considerations (promo calendars, supply lead times, festival seasonality, supplier terms).</w:t>
      </w:r>
    </w:p>
    <w:p w14:paraId="7BDF4652" w14:textId="3F99B179" w:rsidR="002C7E2B" w:rsidRPr="00F56D38" w:rsidRDefault="002C7E2B" w:rsidP="00F56D38">
      <w:pPr>
        <w:numPr>
          <w:ilvl w:val="0"/>
          <w:numId w:val="26"/>
        </w:num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 xml:space="preserve">If a </w:t>
      </w:r>
      <w:proofErr w:type="gramStart"/>
      <w:r w:rsidRPr="002C7E2B">
        <w:rPr>
          <w:rFonts w:eastAsia="Times New Roman"/>
          <w:kern w:val="0"/>
          <w:sz w:val="24"/>
          <w:szCs w:val="24"/>
          <w:lang w:val="en-US"/>
          <w14:ligatures w14:val="none"/>
        </w:rPr>
        <w:t>fuel-price</w:t>
      </w:r>
      <w:proofErr w:type="gramEnd"/>
      <w:r w:rsidRPr="002C7E2B">
        <w:rPr>
          <w:rFonts w:eastAsia="Times New Roman"/>
          <w:kern w:val="0"/>
          <w:sz w:val="24"/>
          <w:szCs w:val="24"/>
          <w:lang w:val="en-US"/>
          <w14:ligatures w14:val="none"/>
        </w:rPr>
        <w:t xml:space="preserve"> adjustment occurs next month, how would you update your formula or assumptions without overreacting</w:t>
      </w:r>
      <w:r w:rsidRPr="00F56D38">
        <w:rPr>
          <w:rFonts w:eastAsia="Times New Roman"/>
          <w:kern w:val="0"/>
          <w:sz w:val="24"/>
          <w:szCs w:val="24"/>
          <w:lang w:val="en-US"/>
          <w14:ligatures w14:val="none"/>
        </w:rPr>
        <w:t>.</w:t>
      </w:r>
    </w:p>
    <w:p w14:paraId="3B874C7B" w14:textId="13273EC4" w:rsidR="002C7E2B" w:rsidRPr="002C7E2B" w:rsidRDefault="002C7E2B" w:rsidP="002C7E2B">
      <w:pPr>
        <w:numPr>
          <w:ilvl w:val="0"/>
          <w:numId w:val="1"/>
        </w:numPr>
        <w:spacing w:before="100" w:beforeAutospacing="1" w:after="100" w:afterAutospacing="1" w:line="240" w:lineRule="auto"/>
        <w:jc w:val="both"/>
        <w:rPr>
          <w:rFonts w:eastAsia="Times New Roman"/>
          <w:kern w:val="0"/>
          <w:sz w:val="24"/>
          <w:szCs w:val="24"/>
          <w:lang w:val="en-US"/>
          <w14:ligatures w14:val="none"/>
        </w:rPr>
        <w:sectPr w:rsidR="002C7E2B" w:rsidRPr="002C7E2B" w:rsidSect="00340F8A">
          <w:pgSz w:w="11906" w:h="16838"/>
          <w:pgMar w:top="1440" w:right="1440" w:bottom="1440" w:left="1440" w:header="709" w:footer="709" w:gutter="0"/>
          <w:cols w:space="708"/>
          <w:docGrid w:linePitch="360"/>
        </w:sectPr>
      </w:pPr>
    </w:p>
    <w:p w14:paraId="2844C620" w14:textId="3B3FE25F" w:rsidR="002C7E2B" w:rsidRPr="002C7E2B" w:rsidRDefault="00B80FDA" w:rsidP="00B80FDA">
      <w:pPr>
        <w:spacing w:before="100" w:beforeAutospacing="1" w:after="100" w:afterAutospacing="1" w:line="240" w:lineRule="auto"/>
        <w:jc w:val="both"/>
        <w:rPr>
          <w:rFonts w:eastAsia="Times New Roman"/>
          <w:kern w:val="0"/>
          <w:sz w:val="24"/>
          <w:szCs w:val="24"/>
          <w:lang w:val="en-US"/>
          <w14:ligatures w14:val="none"/>
        </w:rPr>
      </w:pPr>
      <w:r>
        <w:rPr>
          <w:rFonts w:eastAsia="Times New Roman"/>
          <w:noProof/>
          <w:kern w:val="0"/>
          <w:sz w:val="24"/>
          <w:szCs w:val="24"/>
          <w:lang w:val="en-US"/>
          <w14:ligatures w14:val="none"/>
        </w:rPr>
        <w:drawing>
          <wp:inline distT="0" distB="0" distL="0" distR="0" wp14:anchorId="5CBA6FAA" wp14:editId="2B9AA029">
            <wp:extent cx="5747385" cy="514350"/>
            <wp:effectExtent l="0" t="0" r="5715" b="0"/>
            <wp:docPr id="1263372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7385" cy="514350"/>
                    </a:xfrm>
                    <a:prstGeom prst="rect">
                      <a:avLst/>
                    </a:prstGeom>
                    <a:noFill/>
                  </pic:spPr>
                </pic:pic>
              </a:graphicData>
            </a:graphic>
          </wp:inline>
        </w:drawing>
      </w:r>
    </w:p>
    <w:p w14:paraId="28EEBF0C" w14:textId="1FA3DE47" w:rsidR="002C7E2B" w:rsidRPr="002C7E2B" w:rsidRDefault="002C7E2B" w:rsidP="002C7E2B">
      <w:pPr>
        <w:jc w:val="center"/>
        <w:rPr>
          <w:b/>
          <w:bCs/>
          <w:sz w:val="40"/>
          <w:szCs w:val="40"/>
          <w:lang w:val="en-US"/>
        </w:rPr>
      </w:pPr>
      <w:r>
        <w:rPr>
          <w:b/>
          <w:bCs/>
          <w:sz w:val="40"/>
          <w:szCs w:val="40"/>
          <w:lang w:val="en-US"/>
        </w:rPr>
        <w:t xml:space="preserve">Case 2- </w:t>
      </w:r>
      <w:r w:rsidRPr="002C7E2B">
        <w:rPr>
          <w:b/>
          <w:bCs/>
          <w:sz w:val="40"/>
          <w:szCs w:val="40"/>
          <w:lang w:val="en-US"/>
        </w:rPr>
        <w:t>Indexing City Minimum Wages: Keeping Purchasing Power, Managing Expectations</w:t>
      </w:r>
    </w:p>
    <w:p w14:paraId="6FD79731" w14:textId="77777777" w:rsid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p>
    <w:p w14:paraId="6A240201" w14:textId="6E2DD880"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 xml:space="preserve">By late-2024, the perennial debate over Upah Minimum </w:t>
      </w:r>
      <w:proofErr w:type="spellStart"/>
      <w:r w:rsidRPr="002C7E2B">
        <w:rPr>
          <w:rFonts w:eastAsia="Times New Roman"/>
          <w:kern w:val="0"/>
          <w:sz w:val="24"/>
          <w:szCs w:val="24"/>
          <w:lang w:val="en-US"/>
          <w14:ligatures w14:val="none"/>
        </w:rPr>
        <w:t>Kabupaten</w:t>
      </w:r>
      <w:proofErr w:type="spellEnd"/>
      <w:r w:rsidRPr="002C7E2B">
        <w:rPr>
          <w:rFonts w:eastAsia="Times New Roman"/>
          <w:kern w:val="0"/>
          <w:sz w:val="24"/>
          <w:szCs w:val="24"/>
          <w:lang w:val="en-US"/>
          <w14:ligatures w14:val="none"/>
        </w:rPr>
        <w:t>/Kota (UMK) in Banten sharpened. Employer groups warned that aggressive nominal increases would burden firms still normalizing post-pandemic; labor representatives argued real wages had slipped, pressing for stronger, rule-based adjustments. In Kota Tangerang and Kota Tangerang Selatan, mayors sought a brief that was both principled and practical: “How do we align next year’s UMK with purchasing-power intent while signaling stability to investors and MSMEs?”</w:t>
      </w:r>
    </w:p>
    <w:p w14:paraId="026DC79E"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A small interagency team prepared an evidence pack using public data. They compiled annual UMK levels for each city, 2019–2025, and paired them with annual average price levels, derived from monthly indices for the same years. The intent was to see whether the pattern of UMK increases behaved more like a response to price levels (a purchasing-power anchor) or more like a policy/time rhythm (institutional cycles, formula tweaks, negotiations).</w:t>
      </w:r>
    </w:p>
    <w:p w14:paraId="488FB76A"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They plotted both series, mindful that communications—not just calculations—would shape stakeholder reactions. A wage path that rose with the general price level could be framed as preserving purchasing power for workers while keeping firms’ planning horizons intact. A path mostly explained by policy timing might still be defensible, but it would require a clearer narrative about productivity, employment absorption, and fiscal room for complementary programs (e.g., upskilling, transport subsidies).</w:t>
      </w:r>
    </w:p>
    <w:p w14:paraId="4C7C2E22"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 xml:space="preserve">The cities also faced a messaging constraint: volatility and frequent mid-course changes breed distrust. Officials favored a transparent, data-tethered rule that could be explained in one slide and updated annually in October when most price information had firmed. Within that, they wanted room to reflect city-specific signals—job creation in certain sectors, MSME stress, and regional competitiveness with neighboring </w:t>
      </w:r>
      <w:proofErr w:type="spellStart"/>
      <w:r w:rsidRPr="002C7E2B">
        <w:rPr>
          <w:rFonts w:eastAsia="Times New Roman"/>
          <w:kern w:val="0"/>
          <w:sz w:val="24"/>
          <w:szCs w:val="24"/>
          <w:lang w:val="en-US"/>
          <w14:ligatures w14:val="none"/>
        </w:rPr>
        <w:t>Jabodetabek</w:t>
      </w:r>
      <w:proofErr w:type="spellEnd"/>
      <w:r w:rsidRPr="002C7E2B">
        <w:rPr>
          <w:rFonts w:eastAsia="Times New Roman"/>
          <w:kern w:val="0"/>
          <w:sz w:val="24"/>
          <w:szCs w:val="24"/>
          <w:lang w:val="en-US"/>
          <w14:ligatures w14:val="none"/>
        </w:rPr>
        <w:t xml:space="preserve"> jurisdictions. The final brief proposed a baseline adjustment derived from official price levels and a narrow corridor for discretion tied to productivity and employment indicators.</w:t>
      </w:r>
    </w:p>
    <w:p w14:paraId="5302A9EA"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In stakeholder sessions, both sides recognized the value of a published anchor. While disagreements remained, the conversation shifted from “how loud” to “how clear.” The mayors closed by committing to publish an annual one-pager showing how next year’s proposal would follow the rule and where it would exercise discretion—and why.</w:t>
      </w:r>
    </w:p>
    <w:p w14:paraId="52F94BD5"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b/>
          <w:bCs/>
          <w:kern w:val="0"/>
          <w:sz w:val="24"/>
          <w:szCs w:val="24"/>
          <w:lang w:val="en-US"/>
          <w14:ligatures w14:val="none"/>
        </w:rPr>
        <w:t>Discussion questions</w:t>
      </w:r>
    </w:p>
    <w:p w14:paraId="40DF0139" w14:textId="77777777" w:rsidR="002C7E2B" w:rsidRPr="002C7E2B" w:rsidRDefault="002C7E2B" w:rsidP="00F56D38">
      <w:pPr>
        <w:numPr>
          <w:ilvl w:val="0"/>
          <w:numId w:val="27"/>
        </w:num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Write a simple linear formula that links next year’s UMK to the most recent annual average price level (or a time index if you prefer</w:t>
      </w:r>
      <w:proofErr w:type="gramStart"/>
      <w:r w:rsidRPr="002C7E2B">
        <w:rPr>
          <w:rFonts w:eastAsia="Times New Roman"/>
          <w:kern w:val="0"/>
          <w:sz w:val="24"/>
          <w:szCs w:val="24"/>
          <w:lang w:val="en-US"/>
          <w14:ligatures w14:val="none"/>
        </w:rPr>
        <w:t>), and</w:t>
      </w:r>
      <w:proofErr w:type="gramEnd"/>
      <w:r w:rsidRPr="002C7E2B">
        <w:rPr>
          <w:rFonts w:eastAsia="Times New Roman"/>
          <w:kern w:val="0"/>
          <w:sz w:val="24"/>
          <w:szCs w:val="24"/>
          <w:lang w:val="en-US"/>
          <w14:ligatures w14:val="none"/>
        </w:rPr>
        <w:t xml:space="preserve"> forecast UMK for the next 5 years under your baseline.</w:t>
      </w:r>
    </w:p>
    <w:p w14:paraId="463EAF30" w14:textId="77777777" w:rsidR="002C7E2B" w:rsidRPr="002C7E2B" w:rsidRDefault="002C7E2B" w:rsidP="00F56D38">
      <w:pPr>
        <w:numPr>
          <w:ilvl w:val="0"/>
          <w:numId w:val="27"/>
        </w:num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 xml:space="preserve">What considerations (productivity growth, employment conditions, sectoral shocks, regional competition) would justify placing UMK above or below your baseline </w:t>
      </w:r>
      <w:proofErr w:type="gramStart"/>
      <w:r w:rsidRPr="002C7E2B">
        <w:rPr>
          <w:rFonts w:eastAsia="Times New Roman"/>
          <w:kern w:val="0"/>
          <w:sz w:val="24"/>
          <w:szCs w:val="24"/>
          <w:lang w:val="en-US"/>
          <w14:ligatures w14:val="none"/>
        </w:rPr>
        <w:t>in a given year</w:t>
      </w:r>
      <w:proofErr w:type="gramEnd"/>
      <w:r w:rsidRPr="002C7E2B">
        <w:rPr>
          <w:rFonts w:eastAsia="Times New Roman"/>
          <w:kern w:val="0"/>
          <w:sz w:val="24"/>
          <w:szCs w:val="24"/>
          <w:lang w:val="en-US"/>
          <w14:ligatures w14:val="none"/>
        </w:rPr>
        <w:t>?</w:t>
      </w:r>
    </w:p>
    <w:p w14:paraId="4AC3CDB4" w14:textId="77777777" w:rsidR="002C7E2B" w:rsidRDefault="002C7E2B" w:rsidP="00F56D38">
      <w:pPr>
        <w:numPr>
          <w:ilvl w:val="0"/>
          <w:numId w:val="27"/>
        </w:num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Draft a one-paragraph public explanation (non-technical) that the mayor could use to defend your rule.</w:t>
      </w:r>
    </w:p>
    <w:p w14:paraId="0E14C57C" w14:textId="77777777" w:rsidR="00F56D38" w:rsidRPr="00F56D38" w:rsidRDefault="00F56D38" w:rsidP="002C7E2B">
      <w:pPr>
        <w:numPr>
          <w:ilvl w:val="0"/>
          <w:numId w:val="2"/>
        </w:numPr>
        <w:spacing w:before="100" w:beforeAutospacing="1" w:after="100" w:afterAutospacing="1" w:line="240" w:lineRule="auto"/>
        <w:jc w:val="both"/>
        <w:rPr>
          <w:rFonts w:eastAsia="Times New Roman"/>
          <w:kern w:val="0"/>
          <w:sz w:val="24"/>
          <w:szCs w:val="24"/>
          <w:lang w:val="en-US"/>
          <w14:ligatures w14:val="none"/>
        </w:rPr>
        <w:sectPr w:rsidR="00F56D38" w:rsidRPr="00F56D38" w:rsidSect="00340F8A">
          <w:pgSz w:w="11906" w:h="16838"/>
          <w:pgMar w:top="1440" w:right="1440" w:bottom="1440" w:left="1440" w:header="709" w:footer="709" w:gutter="0"/>
          <w:cols w:space="708"/>
          <w:docGrid w:linePitch="360"/>
        </w:sectPr>
      </w:pPr>
    </w:p>
    <w:p w14:paraId="375A36F1" w14:textId="7288CF9A" w:rsidR="00B80FDA" w:rsidRDefault="00B80FDA" w:rsidP="002C7E2B">
      <w:pPr>
        <w:spacing w:before="100" w:beforeAutospacing="1" w:after="100" w:afterAutospacing="1" w:line="240" w:lineRule="auto"/>
        <w:jc w:val="center"/>
        <w:outlineLvl w:val="0"/>
        <w:rPr>
          <w:rFonts w:eastAsia="Times New Roman"/>
          <w:b/>
          <w:bCs/>
          <w:kern w:val="36"/>
          <w:sz w:val="48"/>
          <w:szCs w:val="48"/>
          <w:lang w:val="en-US"/>
          <w14:ligatures w14:val="none"/>
        </w:rPr>
      </w:pPr>
      <w:r>
        <w:rPr>
          <w:rFonts w:eastAsia="Times New Roman"/>
          <w:b/>
          <w:bCs/>
          <w:noProof/>
          <w:kern w:val="36"/>
          <w:sz w:val="48"/>
          <w:szCs w:val="48"/>
          <w:lang w:val="en-US"/>
          <w14:ligatures w14:val="none"/>
        </w:rPr>
        <w:drawing>
          <wp:inline distT="0" distB="0" distL="0" distR="0" wp14:anchorId="18E8FE86" wp14:editId="78C24CB7">
            <wp:extent cx="5753735" cy="546534"/>
            <wp:effectExtent l="0" t="0" r="0" b="6350"/>
            <wp:docPr id="21416903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1397" cy="552961"/>
                    </a:xfrm>
                    <a:prstGeom prst="rect">
                      <a:avLst/>
                    </a:prstGeom>
                    <a:noFill/>
                  </pic:spPr>
                </pic:pic>
              </a:graphicData>
            </a:graphic>
          </wp:inline>
        </w:drawing>
      </w:r>
    </w:p>
    <w:p w14:paraId="2AF7A1A9" w14:textId="1E76319E" w:rsidR="002C7E2B" w:rsidRPr="002C7E2B" w:rsidRDefault="002C7E2B" w:rsidP="002C7E2B">
      <w:pPr>
        <w:spacing w:before="100" w:beforeAutospacing="1" w:after="100" w:afterAutospacing="1" w:line="240" w:lineRule="auto"/>
        <w:jc w:val="center"/>
        <w:outlineLvl w:val="0"/>
        <w:rPr>
          <w:rFonts w:eastAsia="Times New Roman"/>
          <w:b/>
          <w:bCs/>
          <w:kern w:val="36"/>
          <w:sz w:val="48"/>
          <w:szCs w:val="48"/>
          <w:lang w:val="en-US"/>
          <w14:ligatures w14:val="none"/>
        </w:rPr>
      </w:pPr>
      <w:r>
        <w:rPr>
          <w:rFonts w:eastAsia="Times New Roman"/>
          <w:b/>
          <w:bCs/>
          <w:kern w:val="36"/>
          <w:sz w:val="48"/>
          <w:szCs w:val="48"/>
          <w:lang w:val="en-US"/>
          <w14:ligatures w14:val="none"/>
        </w:rPr>
        <w:t xml:space="preserve">Case 3 - </w:t>
      </w:r>
      <w:r w:rsidRPr="002C7E2B">
        <w:rPr>
          <w:rFonts w:eastAsia="Times New Roman"/>
          <w:b/>
          <w:bCs/>
          <w:kern w:val="36"/>
          <w:sz w:val="48"/>
          <w:szCs w:val="48"/>
          <w:lang w:val="en-US"/>
          <w14:ligatures w14:val="none"/>
        </w:rPr>
        <w:t>Betting on Mobility: Is Soekarno–Hatta’s Rebound Strong Enough for New Routes?</w:t>
      </w:r>
    </w:p>
    <w:p w14:paraId="790188AA"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 xml:space="preserve">In 2024–2025, transport entrepreneurs in Kota Tangerang weighed a bold idea: a premium airport shuttle linking Soekarno–Hatta (CGK) with fast-growing residential and hotel clusters across Tangerang and </w:t>
      </w:r>
      <w:proofErr w:type="spellStart"/>
      <w:r w:rsidRPr="002C7E2B">
        <w:rPr>
          <w:rFonts w:eastAsia="Times New Roman"/>
          <w:kern w:val="0"/>
          <w:sz w:val="24"/>
          <w:szCs w:val="24"/>
          <w:lang w:val="en-US"/>
          <w14:ligatures w14:val="none"/>
        </w:rPr>
        <w:t>Serpong</w:t>
      </w:r>
      <w:proofErr w:type="spellEnd"/>
      <w:r w:rsidRPr="002C7E2B">
        <w:rPr>
          <w:rFonts w:eastAsia="Times New Roman"/>
          <w:kern w:val="0"/>
          <w:sz w:val="24"/>
          <w:szCs w:val="24"/>
          <w:lang w:val="en-US"/>
          <w14:ligatures w14:val="none"/>
        </w:rPr>
        <w:t>. Lenders liked the concept but demanded a cleaner quantitative story: would passenger flows be steady enough to sustain high frequencies and premium pricing once early curiosity faded?</w:t>
      </w:r>
    </w:p>
    <w:p w14:paraId="4AE4CB68"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 xml:space="preserve">The project team assembled monthly passenger counts (domestic and international) from public sources for 2020–2025. Visualizing the trajectories told a clear story of collapse, reopening, and recovery. But lenders were allergic to complicated forecasting. They wanted a single, comprehensible line for the next two years backed by common-sense assumptions: if the overall recovery slope </w:t>
      </w:r>
      <w:proofErr w:type="gramStart"/>
      <w:r w:rsidRPr="002C7E2B">
        <w:rPr>
          <w:rFonts w:eastAsia="Times New Roman"/>
          <w:kern w:val="0"/>
          <w:sz w:val="24"/>
          <w:szCs w:val="24"/>
          <w:lang w:val="en-US"/>
          <w14:ligatures w14:val="none"/>
        </w:rPr>
        <w:t>held</w:t>
      </w:r>
      <w:proofErr w:type="gramEnd"/>
      <w:r w:rsidRPr="002C7E2B">
        <w:rPr>
          <w:rFonts w:eastAsia="Times New Roman"/>
          <w:kern w:val="0"/>
          <w:sz w:val="24"/>
          <w:szCs w:val="24"/>
          <w:lang w:val="en-US"/>
          <w14:ligatures w14:val="none"/>
        </w:rPr>
        <w:t>, when would monthly volumes match or exceed 2019 averages; and if the recovery paused, how far could the plan bend without breaking?</w:t>
      </w:r>
    </w:p>
    <w:p w14:paraId="465C331E"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The team explored two practical levers. First, a trend-based forecast to set the central case for volumes—the number that would underpin vehicle leases, crew rosters, and minimum headways. Second, a seasonal and holiday overlay so operations could pre-position supply around school holidays, Ramadan, and year-end travel. They also built a simple trigger policy for rollout: launch Route A once a three-month moving average clears a threshold; launch Route B once the central line meets the 2019 average for two consecutive months.</w:t>
      </w:r>
    </w:p>
    <w:p w14:paraId="5A21D3AC"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 xml:space="preserve">Investors accepted the plan with conditions: fare tests would be staged, frequency would </w:t>
      </w:r>
      <w:proofErr w:type="gramStart"/>
      <w:r w:rsidRPr="002C7E2B">
        <w:rPr>
          <w:rFonts w:eastAsia="Times New Roman"/>
          <w:kern w:val="0"/>
          <w:sz w:val="24"/>
          <w:szCs w:val="24"/>
          <w:lang w:val="en-US"/>
          <w14:ligatures w14:val="none"/>
        </w:rPr>
        <w:t>ramp</w:t>
      </w:r>
      <w:proofErr w:type="gramEnd"/>
      <w:r w:rsidRPr="002C7E2B">
        <w:rPr>
          <w:rFonts w:eastAsia="Times New Roman"/>
          <w:kern w:val="0"/>
          <w:sz w:val="24"/>
          <w:szCs w:val="24"/>
          <w:lang w:val="en-US"/>
          <w14:ligatures w14:val="none"/>
        </w:rPr>
        <w:t xml:space="preserve"> as thresholds were met, and marketing spend would be pulsed around holiday windows. The storytelling worked because it was humble. Rather than promising precision, the team showed how a simple line, refreshed monthly with official counts, could drive disciplined decisions on when to add buses, when to hold, and when to pivot.</w:t>
      </w:r>
    </w:p>
    <w:p w14:paraId="615628DF" w14:textId="77777777" w:rsidR="002C7E2B" w:rsidRP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b/>
          <w:bCs/>
          <w:kern w:val="0"/>
          <w:sz w:val="24"/>
          <w:szCs w:val="24"/>
          <w:lang w:val="en-US"/>
          <w14:ligatures w14:val="none"/>
        </w:rPr>
        <w:t>Discussion questions</w:t>
      </w:r>
    </w:p>
    <w:p w14:paraId="416AD1A5" w14:textId="77777777" w:rsidR="002C7E2B" w:rsidRPr="002C7E2B" w:rsidRDefault="002C7E2B" w:rsidP="00F56D38">
      <w:pPr>
        <w:numPr>
          <w:ilvl w:val="0"/>
          <w:numId w:val="25"/>
        </w:num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 xml:space="preserve">Write a simple linear formula to project total monthly passengers for the next 24 </w:t>
      </w:r>
      <w:proofErr w:type="gramStart"/>
      <w:r w:rsidRPr="002C7E2B">
        <w:rPr>
          <w:rFonts w:eastAsia="Times New Roman"/>
          <w:kern w:val="0"/>
          <w:sz w:val="24"/>
          <w:szCs w:val="24"/>
          <w:lang w:val="en-US"/>
          <w14:ligatures w14:val="none"/>
        </w:rPr>
        <w:t>months, and</w:t>
      </w:r>
      <w:proofErr w:type="gramEnd"/>
      <w:r w:rsidRPr="002C7E2B">
        <w:rPr>
          <w:rFonts w:eastAsia="Times New Roman"/>
          <w:kern w:val="0"/>
          <w:sz w:val="24"/>
          <w:szCs w:val="24"/>
          <w:lang w:val="en-US"/>
          <w14:ligatures w14:val="none"/>
        </w:rPr>
        <w:t xml:space="preserve"> mark the month you expect to meet or exceed the 2019 average.</w:t>
      </w:r>
    </w:p>
    <w:p w14:paraId="39F99097" w14:textId="77777777" w:rsidR="002C7E2B" w:rsidRPr="002C7E2B" w:rsidRDefault="002C7E2B" w:rsidP="00F56D38">
      <w:pPr>
        <w:numPr>
          <w:ilvl w:val="0"/>
          <w:numId w:val="25"/>
        </w:num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State your operational considerations for launching Route A now vs. staging it (vehicle leases, crew shifts, seasonality, holiday spikes, risk of policy shocks).</w:t>
      </w:r>
    </w:p>
    <w:p w14:paraId="362CCF0B" w14:textId="77777777" w:rsidR="002C7E2B" w:rsidRPr="00F56D38" w:rsidRDefault="002C7E2B" w:rsidP="00F56D38">
      <w:pPr>
        <w:numPr>
          <w:ilvl w:val="0"/>
          <w:numId w:val="25"/>
        </w:numPr>
        <w:spacing w:before="100" w:beforeAutospacing="1" w:after="100" w:afterAutospacing="1" w:line="240" w:lineRule="auto"/>
        <w:jc w:val="both"/>
        <w:rPr>
          <w:rFonts w:eastAsia="Times New Roman"/>
          <w:kern w:val="0"/>
          <w:sz w:val="24"/>
          <w:szCs w:val="24"/>
          <w:lang w:val="en-US"/>
          <w14:ligatures w14:val="none"/>
        </w:rPr>
      </w:pPr>
      <w:r w:rsidRPr="002C7E2B">
        <w:rPr>
          <w:rFonts w:eastAsia="Times New Roman"/>
          <w:kern w:val="0"/>
          <w:sz w:val="24"/>
          <w:szCs w:val="24"/>
          <w:lang w:val="en-US"/>
          <w14:ligatures w14:val="none"/>
        </w:rPr>
        <w:t>If international traffic lags domestic for longer than expected, how would you adapt frequencies and pricing without rewriting your whole plan?</w:t>
      </w:r>
    </w:p>
    <w:p w14:paraId="15536A07" w14:textId="77777777" w:rsid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p>
    <w:p w14:paraId="65CAAEC7" w14:textId="77777777" w:rsid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p>
    <w:p w14:paraId="3081FAB7" w14:textId="77777777" w:rsidR="002C7E2B" w:rsidRDefault="002C7E2B" w:rsidP="002C7E2B">
      <w:pPr>
        <w:spacing w:before="100" w:beforeAutospacing="1" w:after="100" w:afterAutospacing="1" w:line="240" w:lineRule="auto"/>
        <w:jc w:val="both"/>
        <w:rPr>
          <w:rFonts w:eastAsia="Times New Roman"/>
          <w:kern w:val="0"/>
          <w:sz w:val="24"/>
          <w:szCs w:val="24"/>
          <w:lang w:val="en-US"/>
          <w14:ligatures w14:val="none"/>
        </w:rPr>
      </w:pPr>
    </w:p>
    <w:p w14:paraId="0073C4DE" w14:textId="77777777" w:rsidR="002C7E2B" w:rsidRDefault="00B80FDA" w:rsidP="002C7E2B">
      <w:pPr>
        <w:spacing w:before="100" w:beforeAutospacing="1" w:after="100" w:afterAutospacing="1" w:line="240" w:lineRule="auto"/>
        <w:jc w:val="both"/>
        <w:rPr>
          <w:rFonts w:eastAsia="Times New Roman"/>
          <w:kern w:val="0"/>
          <w:sz w:val="24"/>
          <w:szCs w:val="24"/>
          <w:lang w:val="en-US"/>
          <w14:ligatures w14:val="none"/>
        </w:rPr>
      </w:pPr>
      <w:r>
        <w:rPr>
          <w:rFonts w:eastAsia="Times New Roman"/>
          <w:noProof/>
          <w:kern w:val="0"/>
          <w:sz w:val="24"/>
          <w:szCs w:val="24"/>
          <w:lang w:val="en-US"/>
          <w14:ligatures w14:val="none"/>
        </w:rPr>
        <w:drawing>
          <wp:inline distT="0" distB="0" distL="0" distR="0" wp14:anchorId="6B99E095" wp14:editId="2B4BFCFA">
            <wp:extent cx="5721985" cy="527050"/>
            <wp:effectExtent l="0" t="0" r="0" b="6350"/>
            <wp:docPr id="3391947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985" cy="527050"/>
                    </a:xfrm>
                    <a:prstGeom prst="rect">
                      <a:avLst/>
                    </a:prstGeom>
                    <a:noFill/>
                  </pic:spPr>
                </pic:pic>
              </a:graphicData>
            </a:graphic>
          </wp:inline>
        </w:drawing>
      </w:r>
    </w:p>
    <w:p w14:paraId="69F19032" w14:textId="51C69C16" w:rsidR="005D67F8" w:rsidRDefault="005D67F8" w:rsidP="005D67F8">
      <w:pPr>
        <w:spacing w:before="100" w:beforeAutospacing="1" w:after="100" w:afterAutospacing="1" w:line="240" w:lineRule="auto"/>
        <w:jc w:val="center"/>
        <w:outlineLvl w:val="0"/>
        <w:rPr>
          <w:rFonts w:eastAsia="Times New Roman"/>
          <w:b/>
          <w:bCs/>
          <w:kern w:val="36"/>
          <w:sz w:val="48"/>
          <w:szCs w:val="48"/>
          <w:lang w:val="en-US"/>
          <w14:ligatures w14:val="none"/>
        </w:rPr>
      </w:pPr>
      <w:r>
        <w:rPr>
          <w:rFonts w:eastAsia="Times New Roman"/>
          <w:b/>
          <w:bCs/>
          <w:kern w:val="36"/>
          <w:sz w:val="48"/>
          <w:szCs w:val="48"/>
          <w:lang w:val="en-US"/>
          <w14:ligatures w14:val="none"/>
        </w:rPr>
        <w:t xml:space="preserve">Case 4 - </w:t>
      </w:r>
      <w:r w:rsidRPr="005D67F8">
        <w:rPr>
          <w:rFonts w:eastAsia="Times New Roman"/>
          <w:b/>
          <w:bCs/>
          <w:kern w:val="36"/>
          <w:sz w:val="48"/>
          <w:szCs w:val="48"/>
          <w:lang w:val="en-US"/>
          <w14:ligatures w14:val="none"/>
        </w:rPr>
        <w:t>Betting on a Flagship: Is Banten’s Demand Rebound Strong Enough for a BSD Mall Launch?</w:t>
      </w:r>
    </w:p>
    <w:p w14:paraId="50396F26" w14:textId="77777777" w:rsidR="005D67F8" w:rsidRPr="005D67F8" w:rsidRDefault="005D67F8" w:rsidP="005D67F8">
      <w:pPr>
        <w:spacing w:before="100" w:beforeAutospacing="1" w:after="100" w:afterAutospacing="1" w:line="240" w:lineRule="auto"/>
        <w:jc w:val="center"/>
        <w:outlineLvl w:val="0"/>
        <w:rPr>
          <w:rFonts w:eastAsia="Times New Roman"/>
          <w:b/>
          <w:bCs/>
          <w:kern w:val="36"/>
          <w:sz w:val="48"/>
          <w:szCs w:val="48"/>
          <w:lang w:val="en-US"/>
          <w14:ligatures w14:val="none"/>
        </w:rPr>
      </w:pPr>
    </w:p>
    <w:p w14:paraId="7335AE4B" w14:textId="77777777" w:rsidR="005D67F8" w:rsidRPr="005D67F8" w:rsidRDefault="005D67F8" w:rsidP="005D67F8">
      <w:pPr>
        <w:spacing w:before="100" w:beforeAutospacing="1" w:after="100" w:afterAutospacing="1" w:line="240" w:lineRule="auto"/>
        <w:jc w:val="both"/>
        <w:rPr>
          <w:rFonts w:eastAsia="Times New Roman"/>
          <w:kern w:val="0"/>
          <w:sz w:val="24"/>
          <w:szCs w:val="24"/>
          <w:lang w:val="en-US"/>
          <w14:ligatures w14:val="none"/>
        </w:rPr>
      </w:pPr>
      <w:r w:rsidRPr="005D67F8">
        <w:rPr>
          <w:rFonts w:eastAsia="Times New Roman"/>
          <w:kern w:val="0"/>
          <w:sz w:val="24"/>
          <w:szCs w:val="24"/>
          <w:lang w:val="en-US"/>
          <w14:ligatures w14:val="none"/>
        </w:rPr>
        <w:t xml:space="preserve">In 2024–2025, a mid-tier fashion/athleisure brand with strong online sales across </w:t>
      </w:r>
      <w:proofErr w:type="spellStart"/>
      <w:r w:rsidRPr="005D67F8">
        <w:rPr>
          <w:rFonts w:eastAsia="Times New Roman"/>
          <w:kern w:val="0"/>
          <w:sz w:val="24"/>
          <w:szCs w:val="24"/>
          <w:lang w:val="en-US"/>
          <w14:ligatures w14:val="none"/>
        </w:rPr>
        <w:t>Jabodetabek</w:t>
      </w:r>
      <w:proofErr w:type="spellEnd"/>
      <w:r w:rsidRPr="005D67F8">
        <w:rPr>
          <w:rFonts w:eastAsia="Times New Roman"/>
          <w:kern w:val="0"/>
          <w:sz w:val="24"/>
          <w:szCs w:val="24"/>
          <w:lang w:val="en-US"/>
          <w14:ligatures w14:val="none"/>
        </w:rPr>
        <w:t xml:space="preserve"> debated a bold move: open a flagship store at a high-traffic mall in the BSD/</w:t>
      </w:r>
      <w:proofErr w:type="spellStart"/>
      <w:r w:rsidRPr="005D67F8">
        <w:rPr>
          <w:rFonts w:eastAsia="Times New Roman"/>
          <w:kern w:val="0"/>
          <w:sz w:val="24"/>
          <w:szCs w:val="24"/>
          <w:lang w:val="en-US"/>
          <w14:ligatures w14:val="none"/>
        </w:rPr>
        <w:t>Serpong</w:t>
      </w:r>
      <w:proofErr w:type="spellEnd"/>
      <w:r w:rsidRPr="005D67F8">
        <w:rPr>
          <w:rFonts w:eastAsia="Times New Roman"/>
          <w:kern w:val="0"/>
          <w:sz w:val="24"/>
          <w:szCs w:val="24"/>
          <w:lang w:val="en-US"/>
          <w14:ligatures w14:val="none"/>
        </w:rPr>
        <w:t xml:space="preserve"> corridor (Kota Tangerang Selatan), supported by an always-on paid-media presence and influencer events. The brand’s CFO agreed the location was strategic but pushed for a clean, quantitative story: would offline demand be steady enough to carry rent, fit-out amortization, and launch media after the opening buzz fades?</w:t>
      </w:r>
    </w:p>
    <w:p w14:paraId="6D6C752B" w14:textId="77777777" w:rsidR="005D67F8" w:rsidRPr="005D67F8" w:rsidRDefault="005D67F8" w:rsidP="005D67F8">
      <w:pPr>
        <w:spacing w:before="100" w:beforeAutospacing="1" w:after="100" w:afterAutospacing="1" w:line="240" w:lineRule="auto"/>
        <w:jc w:val="both"/>
        <w:rPr>
          <w:rFonts w:eastAsia="Times New Roman"/>
          <w:kern w:val="0"/>
          <w:sz w:val="24"/>
          <w:szCs w:val="24"/>
          <w:lang w:val="en-US"/>
          <w14:ligatures w14:val="none"/>
        </w:rPr>
      </w:pPr>
      <w:r w:rsidRPr="005D67F8">
        <w:rPr>
          <w:rFonts w:eastAsia="Times New Roman"/>
          <w:kern w:val="0"/>
          <w:sz w:val="24"/>
          <w:szCs w:val="24"/>
          <w:lang w:val="en-US"/>
          <w14:ligatures w14:val="none"/>
        </w:rPr>
        <w:t>The growth team assembled simple, public signals that correlate with mall footfall and weekend spend. First, monthly hotel occupancy (TPK) for Banten offers a broad view of visitor presence and staycations returning to pre-pandemic rhythm. Second, Soekarno–Hatta (CGK) monthly passengers act as a movement proxy; when flights rise, weekend shopping and dining usually firm up in Tangerang/</w:t>
      </w:r>
      <w:proofErr w:type="spellStart"/>
      <w:r w:rsidRPr="005D67F8">
        <w:rPr>
          <w:rFonts w:eastAsia="Times New Roman"/>
          <w:kern w:val="0"/>
          <w:sz w:val="24"/>
          <w:szCs w:val="24"/>
          <w:lang w:val="en-US"/>
          <w14:ligatures w14:val="none"/>
        </w:rPr>
        <w:t>Tangsel</w:t>
      </w:r>
      <w:proofErr w:type="spellEnd"/>
      <w:r w:rsidRPr="005D67F8">
        <w:rPr>
          <w:rFonts w:eastAsia="Times New Roman"/>
          <w:kern w:val="0"/>
          <w:sz w:val="24"/>
          <w:szCs w:val="24"/>
          <w:lang w:val="en-US"/>
          <w14:ligatures w14:val="none"/>
        </w:rPr>
        <w:t>. Plotting both from 2020–2025 told a familiar story—collapse, reopening, then recovery with seasonal swells around Ramadan, school holidays, and year-end.</w:t>
      </w:r>
    </w:p>
    <w:p w14:paraId="74D7F19F" w14:textId="77777777" w:rsidR="005D67F8" w:rsidRPr="005D67F8" w:rsidRDefault="005D67F8" w:rsidP="005D67F8">
      <w:pPr>
        <w:spacing w:before="100" w:beforeAutospacing="1" w:after="100" w:afterAutospacing="1" w:line="240" w:lineRule="auto"/>
        <w:jc w:val="both"/>
        <w:rPr>
          <w:rFonts w:eastAsia="Times New Roman"/>
          <w:kern w:val="0"/>
          <w:sz w:val="24"/>
          <w:szCs w:val="24"/>
          <w:lang w:val="en-US"/>
          <w14:ligatures w14:val="none"/>
        </w:rPr>
      </w:pPr>
      <w:r w:rsidRPr="005D67F8">
        <w:rPr>
          <w:rFonts w:eastAsia="Times New Roman"/>
          <w:kern w:val="0"/>
          <w:sz w:val="24"/>
          <w:szCs w:val="24"/>
          <w:lang w:val="en-US"/>
          <w14:ligatures w14:val="none"/>
        </w:rPr>
        <w:t xml:space="preserve">But leadership was allergic to complicated forecasting. They wanted a single, comprehensible line that extended these public indicators 24 months ahead, then a set of commonsense launch rules. If the recovery </w:t>
      </w:r>
      <w:proofErr w:type="gramStart"/>
      <w:r w:rsidRPr="005D67F8">
        <w:rPr>
          <w:rFonts w:eastAsia="Times New Roman"/>
          <w:kern w:val="0"/>
          <w:sz w:val="24"/>
          <w:szCs w:val="24"/>
          <w:lang w:val="en-US"/>
          <w14:ligatures w14:val="none"/>
        </w:rPr>
        <w:t>held</w:t>
      </w:r>
      <w:proofErr w:type="gramEnd"/>
      <w:r w:rsidRPr="005D67F8">
        <w:rPr>
          <w:rFonts w:eastAsia="Times New Roman"/>
          <w:kern w:val="0"/>
          <w:sz w:val="24"/>
          <w:szCs w:val="24"/>
          <w:lang w:val="en-US"/>
          <w14:ligatures w14:val="none"/>
        </w:rPr>
        <w:t>, when would demand plausibly match or exceed a 2019-style baseline? If demand paused, how would the plan bend—media pacing, event cadence, and inventory—without breaking lease covenants or brand position?</w:t>
      </w:r>
    </w:p>
    <w:p w14:paraId="1B5D5C79" w14:textId="77777777" w:rsidR="005D67F8" w:rsidRPr="005D67F8" w:rsidRDefault="005D67F8" w:rsidP="005D67F8">
      <w:pPr>
        <w:spacing w:before="100" w:beforeAutospacing="1" w:after="100" w:afterAutospacing="1" w:line="240" w:lineRule="auto"/>
        <w:jc w:val="both"/>
        <w:rPr>
          <w:rFonts w:eastAsia="Times New Roman"/>
          <w:kern w:val="0"/>
          <w:sz w:val="24"/>
          <w:szCs w:val="24"/>
          <w:lang w:val="en-US"/>
          <w14:ligatures w14:val="none"/>
        </w:rPr>
      </w:pPr>
      <w:r w:rsidRPr="005D67F8">
        <w:rPr>
          <w:rFonts w:eastAsia="Times New Roman"/>
          <w:kern w:val="0"/>
          <w:sz w:val="24"/>
          <w:szCs w:val="24"/>
          <w:lang w:val="en-US"/>
          <w14:ligatures w14:val="none"/>
        </w:rPr>
        <w:t xml:space="preserve">The team proposed two practical </w:t>
      </w:r>
      <w:proofErr w:type="gramStart"/>
      <w:r w:rsidRPr="005D67F8">
        <w:rPr>
          <w:rFonts w:eastAsia="Times New Roman"/>
          <w:kern w:val="0"/>
          <w:sz w:val="24"/>
          <w:szCs w:val="24"/>
          <w:lang w:val="en-US"/>
          <w14:ligatures w14:val="none"/>
        </w:rPr>
        <w:t>levers</w:t>
      </w:r>
      <w:proofErr w:type="gramEnd"/>
      <w:r w:rsidRPr="005D67F8">
        <w:rPr>
          <w:rFonts w:eastAsia="Times New Roman"/>
          <w:kern w:val="0"/>
          <w:sz w:val="24"/>
          <w:szCs w:val="24"/>
          <w:lang w:val="en-US"/>
          <w14:ligatures w14:val="none"/>
        </w:rPr>
        <w:t>. First, a trend-based projection from one chosen driver (either Banten TPK or CGK passengers) to set the central case—the number underpinning rent coverage, roster planning, and an initial GRP/imp-share target for paid media. Second, a seasonal overlay so marketing and retail ops could pre-position spend and stock around the calendar: Ramadan/</w:t>
      </w:r>
      <w:proofErr w:type="spellStart"/>
      <w:r w:rsidRPr="005D67F8">
        <w:rPr>
          <w:rFonts w:eastAsia="Times New Roman"/>
          <w:kern w:val="0"/>
          <w:sz w:val="24"/>
          <w:szCs w:val="24"/>
          <w:lang w:val="en-US"/>
          <w14:ligatures w14:val="none"/>
        </w:rPr>
        <w:t>Idul</w:t>
      </w:r>
      <w:proofErr w:type="spellEnd"/>
      <w:r w:rsidRPr="005D67F8">
        <w:rPr>
          <w:rFonts w:eastAsia="Times New Roman"/>
          <w:kern w:val="0"/>
          <w:sz w:val="24"/>
          <w:szCs w:val="24"/>
          <w:lang w:val="en-US"/>
          <w14:ligatures w14:val="none"/>
        </w:rPr>
        <w:t xml:space="preserve"> Fitri, school breaks, 11.11/12.12, and year-end. They also framed a trigger policy:</w:t>
      </w:r>
    </w:p>
    <w:p w14:paraId="67B13D3C" w14:textId="77777777" w:rsidR="005D67F8" w:rsidRPr="005D67F8" w:rsidRDefault="005D67F8" w:rsidP="005D67F8">
      <w:pPr>
        <w:numPr>
          <w:ilvl w:val="0"/>
          <w:numId w:val="28"/>
        </w:numPr>
        <w:spacing w:before="100" w:beforeAutospacing="1" w:after="100" w:afterAutospacing="1" w:line="240" w:lineRule="auto"/>
        <w:jc w:val="both"/>
        <w:rPr>
          <w:rFonts w:eastAsia="Times New Roman"/>
          <w:kern w:val="0"/>
          <w:sz w:val="24"/>
          <w:szCs w:val="24"/>
          <w:lang w:val="en-US"/>
          <w14:ligatures w14:val="none"/>
        </w:rPr>
      </w:pPr>
      <w:r w:rsidRPr="005D67F8">
        <w:rPr>
          <w:rFonts w:eastAsia="Times New Roman"/>
          <w:kern w:val="0"/>
          <w:sz w:val="24"/>
          <w:szCs w:val="24"/>
          <w:lang w:val="en-US"/>
          <w14:ligatures w14:val="none"/>
        </w:rPr>
        <w:t>Phase 1 (Pop-up + soft launch) starts once the 3-month moving average of the chosen driver clears a preset threshold (the “green zone”) for one month.</w:t>
      </w:r>
    </w:p>
    <w:p w14:paraId="1587183E" w14:textId="77777777" w:rsidR="005D67F8" w:rsidRPr="005D67F8" w:rsidRDefault="005D67F8" w:rsidP="005D67F8">
      <w:pPr>
        <w:numPr>
          <w:ilvl w:val="0"/>
          <w:numId w:val="28"/>
        </w:numPr>
        <w:spacing w:before="100" w:beforeAutospacing="1" w:after="100" w:afterAutospacing="1" w:line="240" w:lineRule="auto"/>
        <w:jc w:val="both"/>
        <w:rPr>
          <w:rFonts w:eastAsia="Times New Roman"/>
          <w:kern w:val="0"/>
          <w:sz w:val="24"/>
          <w:szCs w:val="24"/>
          <w:lang w:val="en-US"/>
          <w14:ligatures w14:val="none"/>
        </w:rPr>
      </w:pPr>
      <w:r w:rsidRPr="005D67F8">
        <w:rPr>
          <w:rFonts w:eastAsia="Times New Roman"/>
          <w:kern w:val="0"/>
          <w:sz w:val="24"/>
          <w:szCs w:val="24"/>
          <w:lang w:val="en-US"/>
          <w14:ligatures w14:val="none"/>
        </w:rPr>
        <w:t>Phase 2 (Full flagship + brand events) activates after two consecutive months at or above the 2019-style baseline for that driver.</w:t>
      </w:r>
    </w:p>
    <w:p w14:paraId="7AB9B625" w14:textId="77777777" w:rsidR="005D67F8" w:rsidRPr="005D67F8" w:rsidRDefault="005D67F8" w:rsidP="005D67F8">
      <w:pPr>
        <w:spacing w:before="100" w:beforeAutospacing="1" w:after="100" w:afterAutospacing="1" w:line="240" w:lineRule="auto"/>
        <w:jc w:val="both"/>
        <w:rPr>
          <w:rFonts w:eastAsia="Times New Roman"/>
          <w:kern w:val="0"/>
          <w:sz w:val="24"/>
          <w:szCs w:val="24"/>
          <w:lang w:val="en-US"/>
          <w14:ligatures w14:val="none"/>
        </w:rPr>
      </w:pPr>
      <w:r w:rsidRPr="005D67F8">
        <w:rPr>
          <w:rFonts w:eastAsia="Times New Roman"/>
          <w:kern w:val="0"/>
          <w:sz w:val="24"/>
          <w:szCs w:val="24"/>
          <w:lang w:val="en-US"/>
          <w14:ligatures w14:val="none"/>
        </w:rPr>
        <w:t>Media would be pulsed around seasonal peaks; always-on spend would be right-sized to the central line. Influencer drops and micro-events would concentrate in firm months to drive sell-through instead of training shoppers to wait for perpetual promos. If the line softened, the plan would lean into community activations and loyalty mechanics rather than deep, brand-eroding discounts.</w:t>
      </w:r>
    </w:p>
    <w:p w14:paraId="418DAF6A" w14:textId="77777777" w:rsidR="005D67F8" w:rsidRPr="005D67F8" w:rsidRDefault="005D67F8" w:rsidP="005D67F8">
      <w:pPr>
        <w:spacing w:before="100" w:beforeAutospacing="1" w:after="100" w:afterAutospacing="1" w:line="240" w:lineRule="auto"/>
        <w:jc w:val="both"/>
        <w:rPr>
          <w:rFonts w:eastAsia="Times New Roman"/>
          <w:kern w:val="0"/>
          <w:sz w:val="24"/>
          <w:szCs w:val="24"/>
          <w:lang w:val="en-US"/>
          <w14:ligatures w14:val="none"/>
        </w:rPr>
      </w:pPr>
      <w:r w:rsidRPr="005D67F8">
        <w:rPr>
          <w:rFonts w:eastAsia="Times New Roman"/>
          <w:kern w:val="0"/>
          <w:sz w:val="24"/>
          <w:szCs w:val="24"/>
          <w:lang w:val="en-US"/>
          <w14:ligatures w14:val="none"/>
        </w:rPr>
        <w:t>The board approved—with conditions. Creative and production budgets would be released in tranches tied to the triggers; inventory for the first three months would ship in two waves to guard cash; and the lease contained a pop-up convertible clause (roll to full fit-out only after Phase-2 conditions are met). The story worked because it was humble and repeatable. A simple line, refreshed monthly with official numbers, would govern when to scale spend, when to hold, and when to pivot—all while protecting brand equity.</w:t>
      </w:r>
    </w:p>
    <w:p w14:paraId="738F46A7" w14:textId="77777777" w:rsidR="005D67F8" w:rsidRPr="005D67F8" w:rsidRDefault="005D67F8" w:rsidP="005D67F8">
      <w:pPr>
        <w:spacing w:before="100" w:beforeAutospacing="1" w:after="100" w:afterAutospacing="1" w:line="240" w:lineRule="auto"/>
        <w:jc w:val="both"/>
        <w:rPr>
          <w:rFonts w:eastAsia="Times New Roman"/>
          <w:b/>
          <w:bCs/>
          <w:kern w:val="0"/>
          <w:sz w:val="24"/>
          <w:szCs w:val="24"/>
          <w:lang w:val="en-US"/>
          <w14:ligatures w14:val="none"/>
        </w:rPr>
      </w:pPr>
      <w:r w:rsidRPr="005D67F8">
        <w:rPr>
          <w:rFonts w:eastAsia="Times New Roman"/>
          <w:b/>
          <w:bCs/>
          <w:kern w:val="0"/>
          <w:sz w:val="24"/>
          <w:szCs w:val="24"/>
          <w:lang w:val="en-US"/>
          <w14:ligatures w14:val="none"/>
        </w:rPr>
        <w:t>Discussion questions</w:t>
      </w:r>
    </w:p>
    <w:p w14:paraId="5A966A01" w14:textId="77777777" w:rsidR="005D67F8" w:rsidRPr="005D67F8" w:rsidRDefault="005D67F8" w:rsidP="005D67F8">
      <w:pPr>
        <w:numPr>
          <w:ilvl w:val="0"/>
          <w:numId w:val="29"/>
        </w:numPr>
        <w:spacing w:before="100" w:beforeAutospacing="1" w:after="100" w:afterAutospacing="1" w:line="240" w:lineRule="auto"/>
        <w:jc w:val="both"/>
        <w:rPr>
          <w:rFonts w:eastAsia="Times New Roman"/>
          <w:kern w:val="0"/>
          <w:sz w:val="24"/>
          <w:szCs w:val="24"/>
          <w:lang w:val="en-US"/>
          <w14:ligatures w14:val="none"/>
        </w:rPr>
      </w:pPr>
      <w:r w:rsidRPr="005D67F8">
        <w:rPr>
          <w:rFonts w:eastAsia="Times New Roman"/>
          <w:kern w:val="0"/>
          <w:sz w:val="24"/>
          <w:szCs w:val="24"/>
          <w:lang w:val="en-US"/>
          <w14:ligatures w14:val="none"/>
        </w:rPr>
        <w:t xml:space="preserve">Write a simple linear formula to project your chosen public demand proxy (pick Banten TPK </w:t>
      </w:r>
      <w:r w:rsidRPr="005D67F8">
        <w:rPr>
          <w:rFonts w:eastAsia="Times New Roman"/>
          <w:i/>
          <w:iCs/>
          <w:kern w:val="0"/>
          <w:sz w:val="24"/>
          <w:szCs w:val="24"/>
          <w:lang w:val="en-US"/>
          <w14:ligatures w14:val="none"/>
        </w:rPr>
        <w:t>or</w:t>
      </w:r>
      <w:r w:rsidRPr="005D67F8">
        <w:rPr>
          <w:rFonts w:eastAsia="Times New Roman"/>
          <w:kern w:val="0"/>
          <w:sz w:val="24"/>
          <w:szCs w:val="24"/>
          <w:lang w:val="en-US"/>
          <w14:ligatures w14:val="none"/>
        </w:rPr>
        <w:t xml:space="preserve"> CGK passengers) for the next 24 </w:t>
      </w:r>
      <w:proofErr w:type="gramStart"/>
      <w:r w:rsidRPr="005D67F8">
        <w:rPr>
          <w:rFonts w:eastAsia="Times New Roman"/>
          <w:kern w:val="0"/>
          <w:sz w:val="24"/>
          <w:szCs w:val="24"/>
          <w:lang w:val="en-US"/>
          <w14:ligatures w14:val="none"/>
        </w:rPr>
        <w:t>months, and</w:t>
      </w:r>
      <w:proofErr w:type="gramEnd"/>
      <w:r w:rsidRPr="005D67F8">
        <w:rPr>
          <w:rFonts w:eastAsia="Times New Roman"/>
          <w:kern w:val="0"/>
          <w:sz w:val="24"/>
          <w:szCs w:val="24"/>
          <w:lang w:val="en-US"/>
          <w14:ligatures w14:val="none"/>
        </w:rPr>
        <w:t xml:space="preserve"> mark the first month you expect to meet or exceed a 2019-style baseline for that proxy.</w:t>
      </w:r>
    </w:p>
    <w:p w14:paraId="576D9396" w14:textId="77777777" w:rsidR="005D67F8" w:rsidRPr="005D67F8" w:rsidRDefault="005D67F8" w:rsidP="005D67F8">
      <w:pPr>
        <w:numPr>
          <w:ilvl w:val="0"/>
          <w:numId w:val="29"/>
        </w:numPr>
        <w:spacing w:before="100" w:beforeAutospacing="1" w:after="100" w:afterAutospacing="1" w:line="240" w:lineRule="auto"/>
        <w:jc w:val="both"/>
        <w:rPr>
          <w:rFonts w:eastAsia="Times New Roman"/>
          <w:kern w:val="0"/>
          <w:sz w:val="24"/>
          <w:szCs w:val="24"/>
          <w:lang w:val="en-US"/>
          <w14:ligatures w14:val="none"/>
        </w:rPr>
      </w:pPr>
      <w:r w:rsidRPr="005D67F8">
        <w:rPr>
          <w:rFonts w:eastAsia="Times New Roman"/>
          <w:kern w:val="0"/>
          <w:sz w:val="24"/>
          <w:szCs w:val="24"/>
          <w:lang w:val="en-US"/>
          <w14:ligatures w14:val="none"/>
        </w:rPr>
        <w:t xml:space="preserve">State </w:t>
      </w:r>
      <w:proofErr w:type="gramStart"/>
      <w:r w:rsidRPr="005D67F8">
        <w:rPr>
          <w:rFonts w:eastAsia="Times New Roman"/>
          <w:kern w:val="0"/>
          <w:sz w:val="24"/>
          <w:szCs w:val="24"/>
          <w:lang w:val="en-US"/>
          <w14:ligatures w14:val="none"/>
        </w:rPr>
        <w:t>your</w:t>
      </w:r>
      <w:proofErr w:type="gramEnd"/>
      <w:r w:rsidRPr="005D67F8">
        <w:rPr>
          <w:rFonts w:eastAsia="Times New Roman"/>
          <w:kern w:val="0"/>
          <w:sz w:val="24"/>
          <w:szCs w:val="24"/>
          <w:lang w:val="en-US"/>
          <w14:ligatures w14:val="none"/>
        </w:rPr>
        <w:t xml:space="preserve"> marketing and retail considerations for launching Phase 1 (pop-up + soft launch) now versus staging to Phase 2 later. Address lease/fit-out timing, staffing &amp; training, media pacing (always-on vs. pulses), influencer/event calendar, and seasonality (Ramadan, school holidays, year-end).</w:t>
      </w:r>
    </w:p>
    <w:p w14:paraId="21C3B890" w14:textId="5D4C46DB" w:rsidR="005D67F8" w:rsidRPr="005D67F8" w:rsidRDefault="005D67F8" w:rsidP="005D67F8">
      <w:pPr>
        <w:numPr>
          <w:ilvl w:val="0"/>
          <w:numId w:val="29"/>
        </w:numPr>
        <w:spacing w:before="100" w:beforeAutospacing="1" w:after="100" w:afterAutospacing="1" w:line="240" w:lineRule="auto"/>
        <w:jc w:val="both"/>
        <w:rPr>
          <w:rFonts w:eastAsia="Times New Roman"/>
          <w:kern w:val="0"/>
          <w:sz w:val="24"/>
          <w:szCs w:val="24"/>
          <w:lang w:val="en-US"/>
          <w14:ligatures w14:val="none"/>
        </w:rPr>
      </w:pPr>
      <w:r w:rsidRPr="005D67F8">
        <w:rPr>
          <w:rFonts w:eastAsia="Times New Roman"/>
          <w:kern w:val="0"/>
          <w:sz w:val="24"/>
          <w:szCs w:val="24"/>
          <w:lang w:val="en-US"/>
          <w14:ligatures w14:val="none"/>
        </w:rPr>
        <w:t xml:space="preserve">If tourist/visitor signals (e.g., TPK or CGK) lag while </w:t>
      </w:r>
      <w:r w:rsidRPr="005D67F8">
        <w:rPr>
          <w:rFonts w:eastAsia="Times New Roman"/>
          <w:kern w:val="0"/>
          <w:sz w:val="24"/>
          <w:szCs w:val="24"/>
          <w:lang w:val="en-US"/>
          <w14:ligatures w14:val="none"/>
        </w:rPr>
        <w:t>residents</w:t>
      </w:r>
      <w:r w:rsidRPr="005D67F8">
        <w:rPr>
          <w:rFonts w:eastAsia="Times New Roman"/>
          <w:kern w:val="0"/>
          <w:sz w:val="24"/>
          <w:szCs w:val="24"/>
          <w:lang w:val="en-US"/>
          <w14:ligatures w14:val="none"/>
        </w:rPr>
        <w:t xml:space="preserve"> stay steady, how would you adapt channel mix, creative, and promotions without rewriting the whole plan? Be concrete about shifting toward geo-targeted locals, loyalty/CRM pushes, bundled value (vs. blanket discounts), and event formats suited to </w:t>
      </w:r>
      <w:r w:rsidRPr="005D67F8">
        <w:rPr>
          <w:rFonts w:eastAsia="Times New Roman"/>
          <w:kern w:val="0"/>
          <w:sz w:val="24"/>
          <w:szCs w:val="24"/>
          <w:lang w:val="en-US"/>
          <w14:ligatures w14:val="none"/>
        </w:rPr>
        <w:t>residents</w:t>
      </w:r>
      <w:r w:rsidRPr="005D67F8">
        <w:rPr>
          <w:rFonts w:eastAsia="Times New Roman"/>
          <w:kern w:val="0"/>
          <w:sz w:val="24"/>
          <w:szCs w:val="24"/>
          <w:lang w:val="en-US"/>
          <w14:ligatures w14:val="none"/>
        </w:rPr>
        <w:t xml:space="preserve"> rather than tourist traffic.</w:t>
      </w:r>
    </w:p>
    <w:p w14:paraId="22462288" w14:textId="77777777" w:rsidR="005D67F8" w:rsidRPr="005D67F8" w:rsidRDefault="005D67F8" w:rsidP="005D67F8">
      <w:pPr>
        <w:spacing w:before="100" w:beforeAutospacing="1" w:after="100" w:afterAutospacing="1" w:line="240" w:lineRule="auto"/>
        <w:jc w:val="both"/>
        <w:rPr>
          <w:rFonts w:eastAsia="Times New Roman"/>
          <w:kern w:val="0"/>
          <w:sz w:val="24"/>
          <w:szCs w:val="24"/>
          <w:lang w:val="en-US"/>
          <w14:ligatures w14:val="none"/>
        </w:rPr>
      </w:pPr>
    </w:p>
    <w:sectPr w:rsidR="005D67F8" w:rsidRPr="005D67F8" w:rsidSect="00340F8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949"/>
    <w:multiLevelType w:val="multilevel"/>
    <w:tmpl w:val="7108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33297"/>
    <w:multiLevelType w:val="multilevel"/>
    <w:tmpl w:val="0FF6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51DF7"/>
    <w:multiLevelType w:val="multilevel"/>
    <w:tmpl w:val="82B6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253BF"/>
    <w:multiLevelType w:val="multilevel"/>
    <w:tmpl w:val="2DEA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F77DC"/>
    <w:multiLevelType w:val="multilevel"/>
    <w:tmpl w:val="1712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F2644C"/>
    <w:multiLevelType w:val="multilevel"/>
    <w:tmpl w:val="A59E2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B03B8"/>
    <w:multiLevelType w:val="multilevel"/>
    <w:tmpl w:val="15F81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42872"/>
    <w:multiLevelType w:val="multilevel"/>
    <w:tmpl w:val="96F23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F0F58"/>
    <w:multiLevelType w:val="multilevel"/>
    <w:tmpl w:val="99A6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95A82"/>
    <w:multiLevelType w:val="multilevel"/>
    <w:tmpl w:val="D368DC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A3E0F"/>
    <w:multiLevelType w:val="multilevel"/>
    <w:tmpl w:val="0730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5263E"/>
    <w:multiLevelType w:val="multilevel"/>
    <w:tmpl w:val="B9EE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F6AE9"/>
    <w:multiLevelType w:val="multilevel"/>
    <w:tmpl w:val="5150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274618"/>
    <w:multiLevelType w:val="multilevel"/>
    <w:tmpl w:val="A9C8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83169"/>
    <w:multiLevelType w:val="multilevel"/>
    <w:tmpl w:val="AF9E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52705"/>
    <w:multiLevelType w:val="multilevel"/>
    <w:tmpl w:val="5712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22D12"/>
    <w:multiLevelType w:val="multilevel"/>
    <w:tmpl w:val="B0426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F0A6F"/>
    <w:multiLevelType w:val="multilevel"/>
    <w:tmpl w:val="ECE6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273DF"/>
    <w:multiLevelType w:val="multilevel"/>
    <w:tmpl w:val="4A74B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294F90"/>
    <w:multiLevelType w:val="hybridMultilevel"/>
    <w:tmpl w:val="0494FC0E"/>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A2D8A"/>
    <w:multiLevelType w:val="multilevel"/>
    <w:tmpl w:val="66180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9D1FCB"/>
    <w:multiLevelType w:val="multilevel"/>
    <w:tmpl w:val="B8C4D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C73B02"/>
    <w:multiLevelType w:val="multilevel"/>
    <w:tmpl w:val="FA0A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8225A"/>
    <w:multiLevelType w:val="multilevel"/>
    <w:tmpl w:val="3BC8D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771C71"/>
    <w:multiLevelType w:val="multilevel"/>
    <w:tmpl w:val="A6D2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E4126D"/>
    <w:multiLevelType w:val="multilevel"/>
    <w:tmpl w:val="37A87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D30093"/>
    <w:multiLevelType w:val="multilevel"/>
    <w:tmpl w:val="48EC1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DD407E"/>
    <w:multiLevelType w:val="multilevel"/>
    <w:tmpl w:val="BCF22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F3025B"/>
    <w:multiLevelType w:val="multilevel"/>
    <w:tmpl w:val="4E94E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5160658">
    <w:abstractNumId w:val="6"/>
  </w:num>
  <w:num w:numId="2" w16cid:durableId="93939432">
    <w:abstractNumId w:val="25"/>
  </w:num>
  <w:num w:numId="3" w16cid:durableId="574358748">
    <w:abstractNumId w:val="2"/>
  </w:num>
  <w:num w:numId="4" w16cid:durableId="322391781">
    <w:abstractNumId w:val="4"/>
  </w:num>
  <w:num w:numId="5" w16cid:durableId="768038556">
    <w:abstractNumId w:val="0"/>
  </w:num>
  <w:num w:numId="6" w16cid:durableId="1089159142">
    <w:abstractNumId w:val="23"/>
  </w:num>
  <w:num w:numId="7" w16cid:durableId="692000233">
    <w:abstractNumId w:val="10"/>
  </w:num>
  <w:num w:numId="8" w16cid:durableId="1346597219">
    <w:abstractNumId w:val="14"/>
  </w:num>
  <w:num w:numId="9" w16cid:durableId="748692477">
    <w:abstractNumId w:val="13"/>
  </w:num>
  <w:num w:numId="10" w16cid:durableId="796677534">
    <w:abstractNumId w:val="16"/>
  </w:num>
  <w:num w:numId="11" w16cid:durableId="1210074956">
    <w:abstractNumId w:val="22"/>
  </w:num>
  <w:num w:numId="12" w16cid:durableId="58478596">
    <w:abstractNumId w:val="24"/>
  </w:num>
  <w:num w:numId="13" w16cid:durableId="1213346963">
    <w:abstractNumId w:val="26"/>
  </w:num>
  <w:num w:numId="14" w16cid:durableId="2047219178">
    <w:abstractNumId w:val="11"/>
  </w:num>
  <w:num w:numId="15" w16cid:durableId="2011835561">
    <w:abstractNumId w:val="21"/>
  </w:num>
  <w:num w:numId="16" w16cid:durableId="877157642">
    <w:abstractNumId w:val="3"/>
  </w:num>
  <w:num w:numId="17" w16cid:durableId="1281258287">
    <w:abstractNumId w:val="9"/>
  </w:num>
  <w:num w:numId="18" w16cid:durableId="1360231014">
    <w:abstractNumId w:val="12"/>
  </w:num>
  <w:num w:numId="19" w16cid:durableId="691953570">
    <w:abstractNumId w:val="27"/>
  </w:num>
  <w:num w:numId="20" w16cid:durableId="814182582">
    <w:abstractNumId w:val="1"/>
  </w:num>
  <w:num w:numId="21" w16cid:durableId="670066141">
    <w:abstractNumId w:val="15"/>
  </w:num>
  <w:num w:numId="22" w16cid:durableId="1526865748">
    <w:abstractNumId w:val="7"/>
  </w:num>
  <w:num w:numId="23" w16cid:durableId="1144079369">
    <w:abstractNumId w:val="8"/>
  </w:num>
  <w:num w:numId="24" w16cid:durableId="1925382152">
    <w:abstractNumId w:val="19"/>
  </w:num>
  <w:num w:numId="25" w16cid:durableId="321082844">
    <w:abstractNumId w:val="18"/>
  </w:num>
  <w:num w:numId="26" w16cid:durableId="131102151">
    <w:abstractNumId w:val="28"/>
  </w:num>
  <w:num w:numId="27" w16cid:durableId="224876037">
    <w:abstractNumId w:val="5"/>
  </w:num>
  <w:num w:numId="28" w16cid:durableId="2049525600">
    <w:abstractNumId w:val="17"/>
  </w:num>
  <w:num w:numId="29" w16cid:durableId="1599295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2B"/>
    <w:rsid w:val="001F730F"/>
    <w:rsid w:val="00205522"/>
    <w:rsid w:val="002C7E2B"/>
    <w:rsid w:val="002F1B9C"/>
    <w:rsid w:val="00340F8A"/>
    <w:rsid w:val="003C1F84"/>
    <w:rsid w:val="003E0941"/>
    <w:rsid w:val="005D67F8"/>
    <w:rsid w:val="005F1E78"/>
    <w:rsid w:val="007671E7"/>
    <w:rsid w:val="007B3E26"/>
    <w:rsid w:val="0094391F"/>
    <w:rsid w:val="009D3806"/>
    <w:rsid w:val="009F03AB"/>
    <w:rsid w:val="00A06554"/>
    <w:rsid w:val="00A85DEF"/>
    <w:rsid w:val="00AC4714"/>
    <w:rsid w:val="00B80FDA"/>
    <w:rsid w:val="00BC52B9"/>
    <w:rsid w:val="00C80506"/>
    <w:rsid w:val="00E73DD1"/>
    <w:rsid w:val="00F06622"/>
    <w:rsid w:val="00F34A43"/>
    <w:rsid w:val="00F56D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1D00"/>
  <w15:chartTrackingRefBased/>
  <w15:docId w15:val="{2D0E19DA-C5BC-4A5F-B720-9EBB6FB1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1F"/>
  </w:style>
  <w:style w:type="paragraph" w:styleId="Heading1">
    <w:name w:val="heading 1"/>
    <w:basedOn w:val="Normal"/>
    <w:next w:val="Normal"/>
    <w:link w:val="Heading1Char"/>
    <w:uiPriority w:val="9"/>
    <w:qFormat/>
    <w:rsid w:val="002C7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E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E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7E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7E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7E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7E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7E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E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E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E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E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7E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7E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7E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7E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7E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7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E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E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7E2B"/>
    <w:pPr>
      <w:spacing w:before="160"/>
      <w:jc w:val="center"/>
    </w:pPr>
    <w:rPr>
      <w:i/>
      <w:iCs/>
      <w:color w:val="404040" w:themeColor="text1" w:themeTint="BF"/>
    </w:rPr>
  </w:style>
  <w:style w:type="character" w:customStyle="1" w:styleId="QuoteChar">
    <w:name w:val="Quote Char"/>
    <w:basedOn w:val="DefaultParagraphFont"/>
    <w:link w:val="Quote"/>
    <w:uiPriority w:val="29"/>
    <w:rsid w:val="002C7E2B"/>
    <w:rPr>
      <w:i/>
      <w:iCs/>
      <w:color w:val="404040" w:themeColor="text1" w:themeTint="BF"/>
    </w:rPr>
  </w:style>
  <w:style w:type="paragraph" w:styleId="ListParagraph">
    <w:name w:val="List Paragraph"/>
    <w:basedOn w:val="Normal"/>
    <w:uiPriority w:val="34"/>
    <w:qFormat/>
    <w:rsid w:val="002C7E2B"/>
    <w:pPr>
      <w:ind w:left="720"/>
      <w:contextualSpacing/>
    </w:pPr>
  </w:style>
  <w:style w:type="character" w:styleId="IntenseEmphasis">
    <w:name w:val="Intense Emphasis"/>
    <w:basedOn w:val="DefaultParagraphFont"/>
    <w:uiPriority w:val="21"/>
    <w:qFormat/>
    <w:rsid w:val="002C7E2B"/>
    <w:rPr>
      <w:i/>
      <w:iCs/>
      <w:color w:val="0F4761" w:themeColor="accent1" w:themeShade="BF"/>
    </w:rPr>
  </w:style>
  <w:style w:type="paragraph" w:styleId="IntenseQuote">
    <w:name w:val="Intense Quote"/>
    <w:basedOn w:val="Normal"/>
    <w:next w:val="Normal"/>
    <w:link w:val="IntenseQuoteChar"/>
    <w:uiPriority w:val="30"/>
    <w:qFormat/>
    <w:rsid w:val="002C7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E2B"/>
    <w:rPr>
      <w:i/>
      <w:iCs/>
      <w:color w:val="0F4761" w:themeColor="accent1" w:themeShade="BF"/>
    </w:rPr>
  </w:style>
  <w:style w:type="character" w:styleId="IntenseReference">
    <w:name w:val="Intense Reference"/>
    <w:basedOn w:val="DefaultParagraphFont"/>
    <w:uiPriority w:val="32"/>
    <w:qFormat/>
    <w:rsid w:val="002C7E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1956</Words>
  <Characters>11312</Characters>
  <Application>Microsoft Office Word</Application>
  <DocSecurity>0</DocSecurity>
  <Lines>182</Lines>
  <Paragraphs>52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vt:lpstr>
      <vt:lpstr>Case 3 - Betting on Mobility: Is Soekarno–Hatta’s Rebound Strong Enough for New </vt:lpstr>
      <vt:lpstr>Case 4 — Filling Rooms, Not Just Timelines: How Should Banten Hotels Spend Their</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Andre Sunarjo</dc:creator>
  <cp:keywords/>
  <dc:description/>
  <cp:lastModifiedBy>Richard Andre Sunarjo</cp:lastModifiedBy>
  <cp:revision>2</cp:revision>
  <dcterms:created xsi:type="dcterms:W3CDTF">2025-09-21T05:25:00Z</dcterms:created>
  <dcterms:modified xsi:type="dcterms:W3CDTF">2025-09-21T05:25:00Z</dcterms:modified>
</cp:coreProperties>
</file>